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3D" w:rsidRDefault="00E5343D"/>
    <w:p w:rsidR="00711F4B" w:rsidRPr="00711F4B" w:rsidRDefault="00711F4B" w:rsidP="00711F4B">
      <w:pPr>
        <w:jc w:val="center"/>
        <w:rPr>
          <w:b/>
          <w:sz w:val="28"/>
          <w:szCs w:val="28"/>
        </w:rPr>
      </w:pPr>
      <w:r w:rsidRPr="00711F4B">
        <w:rPr>
          <w:b/>
          <w:sz w:val="28"/>
          <w:szCs w:val="28"/>
        </w:rPr>
        <w:t>PEI Funding Levels, May 2013</w:t>
      </w:r>
    </w:p>
    <w:tbl>
      <w:tblPr>
        <w:tblW w:w="11840" w:type="dxa"/>
        <w:tblInd w:w="93" w:type="dxa"/>
        <w:tblLook w:val="04A0" w:firstRow="1" w:lastRow="0" w:firstColumn="1" w:lastColumn="0" w:noHBand="0" w:noVBand="1"/>
      </w:tblPr>
      <w:tblGrid>
        <w:gridCol w:w="1120"/>
        <w:gridCol w:w="1340"/>
        <w:gridCol w:w="1340"/>
        <w:gridCol w:w="1340"/>
        <w:gridCol w:w="1340"/>
        <w:gridCol w:w="1340"/>
        <w:gridCol w:w="1340"/>
        <w:gridCol w:w="1340"/>
        <w:gridCol w:w="1340"/>
      </w:tblGrid>
      <w:tr w:rsidR="00711F4B" w:rsidRPr="00711F4B" w:rsidTr="00711F4B">
        <w:trPr>
          <w:trHeight w:val="6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b/>
                <w:bCs/>
                <w:color w:val="000000"/>
              </w:rPr>
              <w:t>2014-15 House budget (Going to conference)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b/>
                <w:bCs/>
                <w:color w:val="000000"/>
              </w:rPr>
              <w:t>2014-15 Senate budget (Going to conference)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b/>
                <w:bCs/>
                <w:color w:val="000000"/>
              </w:rPr>
              <w:t>2012-13 Budget           (Current, w/ cuts)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b/>
                <w:bCs/>
                <w:color w:val="000000"/>
              </w:rPr>
              <w:t>2010-11 Budget                 (Prior to cuts)</w:t>
            </w:r>
          </w:p>
        </w:tc>
      </w:tr>
      <w:tr w:rsidR="00711F4B" w:rsidRPr="00711F4B" w:rsidTr="00711F4B">
        <w:trPr>
          <w:trHeight w:val="6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>FY2014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>FY2015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>FY2014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>FY2015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>FY2012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>FY2013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>FY2010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>FY2011</w:t>
            </w:r>
          </w:p>
        </w:tc>
      </w:tr>
      <w:tr w:rsidR="00711F4B" w:rsidRPr="00711F4B" w:rsidTr="00711F4B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>STAR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 xml:space="preserve">$19,642,083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 xml:space="preserve">$21,000,861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 xml:space="preserve">$18,283,304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 xml:space="preserve">$18,283,303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 xml:space="preserve">$18,283,303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>$18,283,304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 xml:space="preserve">$21,000,860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 xml:space="preserve">$21,000,860 </w:t>
            </w:r>
          </w:p>
        </w:tc>
      </w:tr>
      <w:tr w:rsidR="00711F4B" w:rsidRPr="00711F4B" w:rsidTr="00711F4B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>CYD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 xml:space="preserve">$6,443,450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 xml:space="preserve">$7,847,599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 xml:space="preserve">$5,039,300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 xml:space="preserve">$5,039,300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 xml:space="preserve">$5,039,300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>$5,039,300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 xml:space="preserve">$7,847,599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 xml:space="preserve">$7,847,599 </w:t>
            </w:r>
          </w:p>
        </w:tc>
      </w:tr>
      <w:tr w:rsidR="00711F4B" w:rsidRPr="00711F4B" w:rsidTr="00711F4B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>TFTS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 xml:space="preserve">$3,365,959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 xml:space="preserve">$4,121,878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 xml:space="preserve">$2,610,039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 xml:space="preserve">$2,610,039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 xml:space="preserve">$2,610,039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>$2,610,039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 xml:space="preserve">$4,121,878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 xml:space="preserve">$4,121,878 </w:t>
            </w:r>
          </w:p>
        </w:tc>
      </w:tr>
      <w:tr w:rsidR="00711F4B" w:rsidRPr="00711F4B" w:rsidTr="00711F4B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>CBCAP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 xml:space="preserve">$2,860,007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 xml:space="preserve">$2,341,659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 xml:space="preserve">$2,860,007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 xml:space="preserve">$2,341,659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>$1,640,667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>$1,640,667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 xml:space="preserve">$1,813,365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 xml:space="preserve">$1,813,365 </w:t>
            </w:r>
          </w:p>
        </w:tc>
      </w:tr>
      <w:tr w:rsidR="00711F4B" w:rsidRPr="00711F4B" w:rsidTr="00711F4B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 xml:space="preserve">$16,793,652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 xml:space="preserve">$16,793,652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 xml:space="preserve">$7,056,611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 xml:space="preserve">$7,056,611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>$2,290,576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>$2,290,576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 xml:space="preserve">$8,955,910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 xml:space="preserve">$8,955,910 </w:t>
            </w:r>
          </w:p>
        </w:tc>
      </w:tr>
      <w:tr w:rsidR="00711F4B" w:rsidRPr="00711F4B" w:rsidTr="00711F4B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>Support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 xml:space="preserve">$2,092,584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 xml:space="preserve">$2,005,072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 xml:space="preserve">$1,456,209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 xml:space="preserve">$1,432,791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 xml:space="preserve">$1,133,815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>$1,133,815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 xml:space="preserve">$2,143,959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 xml:space="preserve">$2,143,959 </w:t>
            </w:r>
          </w:p>
        </w:tc>
      </w:tr>
      <w:tr w:rsidR="00711F4B" w:rsidRPr="00711F4B" w:rsidTr="00711F4B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>TOTAL PEI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 xml:space="preserve">$51,197,735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 xml:space="preserve">$54,110,721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 xml:space="preserve">$37,305,470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 xml:space="preserve">$36,763,703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 xml:space="preserve">$30,997,700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>$30,997,701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 xml:space="preserve">$45,883,571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 xml:space="preserve">$45,883,571 </w:t>
            </w:r>
          </w:p>
        </w:tc>
      </w:tr>
      <w:tr w:rsidR="00711F4B" w:rsidRPr="00711F4B" w:rsidTr="00711F4B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F4B" w:rsidRPr="00711F4B" w:rsidTr="00711F4B">
        <w:trPr>
          <w:trHeight w:val="300"/>
        </w:trPr>
        <w:tc>
          <w:tcPr>
            <w:tcW w:w="118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F4B" w:rsidRPr="00711F4B" w:rsidRDefault="00711F4B" w:rsidP="00711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F4B">
              <w:rPr>
                <w:rFonts w:ascii="Calibri" w:eastAsia="Times New Roman" w:hAnsi="Calibri" w:cs="Times New Roman"/>
                <w:color w:val="000000"/>
              </w:rPr>
              <w:t xml:space="preserve">Summary: The House budget bill restores funding for STAR, CYD, and </w:t>
            </w:r>
            <w:proofErr w:type="gramStart"/>
            <w:r w:rsidRPr="00711F4B">
              <w:rPr>
                <w:rFonts w:ascii="Calibri" w:eastAsia="Times New Roman" w:hAnsi="Calibri" w:cs="Times New Roman"/>
                <w:color w:val="000000"/>
              </w:rPr>
              <w:t>TFTS  by</w:t>
            </w:r>
            <w:proofErr w:type="gramEnd"/>
            <w:r w:rsidRPr="00711F4B">
              <w:rPr>
                <w:rFonts w:ascii="Calibri" w:eastAsia="Times New Roman" w:hAnsi="Calibri" w:cs="Times New Roman"/>
                <w:color w:val="000000"/>
              </w:rPr>
              <w:t xml:space="preserve"> 75% (50% in year 1 and 100% in year 2). This is great because it means the fully restored funding levels will be used as the baseline to write the budget for 2016-17. The House bill also includes a large increase for the "Other At-Risk Prevention" line item. The Senate budget bill maintains current funding levels for STAR, CYD, and TFTS. It also has an increase for the "Other At-Risk Prevention" line item, although not as large as the increase in the House bill. A rider on the Senate budget bill requires DFPS to prepare a plan for spending this increase. DF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PS put together a committee to </w:t>
            </w:r>
            <w:bookmarkStart w:id="0" w:name="_GoBack"/>
            <w:bookmarkEnd w:id="0"/>
            <w:r w:rsidRPr="00711F4B">
              <w:rPr>
                <w:rFonts w:ascii="Calibri" w:eastAsia="Times New Roman" w:hAnsi="Calibri" w:cs="Times New Roman"/>
                <w:color w:val="000000"/>
              </w:rPr>
              <w:t>help develop the plan, and TNOYS is on the committee.</w:t>
            </w:r>
          </w:p>
        </w:tc>
      </w:tr>
      <w:tr w:rsidR="00711F4B" w:rsidRPr="00711F4B" w:rsidTr="00711F4B">
        <w:trPr>
          <w:trHeight w:val="300"/>
        </w:trPr>
        <w:tc>
          <w:tcPr>
            <w:tcW w:w="118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F4B" w:rsidRPr="00711F4B" w:rsidRDefault="00711F4B" w:rsidP="00711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F4B" w:rsidRPr="00711F4B" w:rsidTr="00711F4B">
        <w:trPr>
          <w:trHeight w:val="300"/>
        </w:trPr>
        <w:tc>
          <w:tcPr>
            <w:tcW w:w="118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F4B" w:rsidRPr="00711F4B" w:rsidRDefault="00711F4B" w:rsidP="00711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F4B" w:rsidRPr="00711F4B" w:rsidTr="00711F4B">
        <w:trPr>
          <w:trHeight w:val="300"/>
        </w:trPr>
        <w:tc>
          <w:tcPr>
            <w:tcW w:w="118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F4B" w:rsidRPr="00711F4B" w:rsidRDefault="00711F4B" w:rsidP="00711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F4B" w:rsidRPr="00711F4B" w:rsidTr="00711F4B">
        <w:trPr>
          <w:trHeight w:val="300"/>
        </w:trPr>
        <w:tc>
          <w:tcPr>
            <w:tcW w:w="118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F4B" w:rsidRPr="00711F4B" w:rsidRDefault="00711F4B" w:rsidP="00711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F4B" w:rsidRPr="00711F4B" w:rsidTr="00711F4B">
        <w:trPr>
          <w:trHeight w:val="300"/>
        </w:trPr>
        <w:tc>
          <w:tcPr>
            <w:tcW w:w="118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F4B" w:rsidRPr="00711F4B" w:rsidRDefault="00711F4B" w:rsidP="00711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11F4B" w:rsidRDefault="00711F4B"/>
    <w:sectPr w:rsidR="00711F4B" w:rsidSect="00711F4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F4B" w:rsidRDefault="00711F4B" w:rsidP="00711F4B">
      <w:pPr>
        <w:spacing w:after="0" w:line="240" w:lineRule="auto"/>
      </w:pPr>
      <w:r>
        <w:separator/>
      </w:r>
    </w:p>
  </w:endnote>
  <w:endnote w:type="continuationSeparator" w:id="0">
    <w:p w:rsidR="00711F4B" w:rsidRDefault="00711F4B" w:rsidP="0071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F4B" w:rsidRDefault="00711F4B" w:rsidP="00711F4B">
      <w:pPr>
        <w:spacing w:after="0" w:line="240" w:lineRule="auto"/>
      </w:pPr>
      <w:r>
        <w:separator/>
      </w:r>
    </w:p>
  </w:footnote>
  <w:footnote w:type="continuationSeparator" w:id="0">
    <w:p w:rsidR="00711F4B" w:rsidRDefault="00711F4B" w:rsidP="00711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F4B" w:rsidRDefault="00711F4B" w:rsidP="00711F4B">
    <w:pPr>
      <w:pStyle w:val="Header"/>
      <w:jc w:val="center"/>
    </w:pPr>
    <w:r>
      <w:rPr>
        <w:noProof/>
      </w:rPr>
      <w:drawing>
        <wp:inline distT="0" distB="0" distL="0" distR="0">
          <wp:extent cx="2667000" cy="1228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1228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4B"/>
    <w:rsid w:val="00711F4B"/>
    <w:rsid w:val="00E5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F4B"/>
  </w:style>
  <w:style w:type="paragraph" w:styleId="Footer">
    <w:name w:val="footer"/>
    <w:basedOn w:val="Normal"/>
    <w:link w:val="FooterChar"/>
    <w:uiPriority w:val="99"/>
    <w:unhideWhenUsed/>
    <w:rsid w:val="00711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F4B"/>
  </w:style>
  <w:style w:type="paragraph" w:styleId="BalloonText">
    <w:name w:val="Balloon Text"/>
    <w:basedOn w:val="Normal"/>
    <w:link w:val="BalloonTextChar"/>
    <w:uiPriority w:val="99"/>
    <w:semiHidden/>
    <w:unhideWhenUsed/>
    <w:rsid w:val="0071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F4B"/>
  </w:style>
  <w:style w:type="paragraph" w:styleId="Footer">
    <w:name w:val="footer"/>
    <w:basedOn w:val="Normal"/>
    <w:link w:val="FooterChar"/>
    <w:uiPriority w:val="99"/>
    <w:unhideWhenUsed/>
    <w:rsid w:val="00711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F4B"/>
  </w:style>
  <w:style w:type="paragraph" w:styleId="BalloonText">
    <w:name w:val="Balloon Text"/>
    <w:basedOn w:val="Normal"/>
    <w:link w:val="BalloonTextChar"/>
    <w:uiPriority w:val="99"/>
    <w:semiHidden/>
    <w:unhideWhenUsed/>
    <w:rsid w:val="0071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Company>Microsoft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Gendron</dc:creator>
  <cp:lastModifiedBy>Christine Gendron</cp:lastModifiedBy>
  <cp:revision>1</cp:revision>
  <dcterms:created xsi:type="dcterms:W3CDTF">2013-05-15T15:54:00Z</dcterms:created>
  <dcterms:modified xsi:type="dcterms:W3CDTF">2013-05-15T15:55:00Z</dcterms:modified>
</cp:coreProperties>
</file>